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1728"/>
        <w:gridCol w:w="6840"/>
        <w:gridCol w:w="1620"/>
      </w:tblGrid>
      <w:tr w:rsidR="00BE4D93" w:rsidRPr="002653E2" w:rsidTr="00A62D8B">
        <w:trPr>
          <w:trHeight w:val="440"/>
        </w:trPr>
        <w:tc>
          <w:tcPr>
            <w:tcW w:w="1728" w:type="dxa"/>
          </w:tcPr>
          <w:p w:rsidR="00BE4D93" w:rsidRPr="002653E2" w:rsidRDefault="00BE4D93" w:rsidP="00A62D8B">
            <w:pPr>
              <w:spacing w:after="160" w:line="240" w:lineRule="exact"/>
              <w:ind w:right="782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>
              <w:br w:type="page"/>
            </w:r>
            <w:r w:rsidRPr="002653E2">
              <w:rPr>
                <w:rFonts w:ascii="Arial" w:hAnsi="Arial" w:cs="Arial"/>
                <w:noProof/>
                <w:color w:val="262626" w:themeColor="text1" w:themeTint="D9"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0">
                  <wp:simplePos x="0" y="0"/>
                  <wp:positionH relativeFrom="column">
                    <wp:posOffset>26671</wp:posOffset>
                  </wp:positionH>
                  <wp:positionV relativeFrom="paragraph">
                    <wp:posOffset>9525</wp:posOffset>
                  </wp:positionV>
                  <wp:extent cx="857250" cy="899329"/>
                  <wp:effectExtent l="19050" t="0" r="0" b="0"/>
                  <wp:wrapNone/>
                  <wp:docPr id="59" name="Picture 3" descr="GoP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P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99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 </w:t>
            </w:r>
          </w:p>
        </w:tc>
        <w:tc>
          <w:tcPr>
            <w:tcW w:w="6840" w:type="dxa"/>
          </w:tcPr>
          <w:p w:rsidR="00BE4D93" w:rsidRPr="002653E2" w:rsidRDefault="00BE4D93" w:rsidP="00A62D8B">
            <w:pPr>
              <w:tabs>
                <w:tab w:val="left" w:pos="7043"/>
              </w:tabs>
              <w:spacing w:after="0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</w:pPr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>Government of Pakistan</w:t>
            </w:r>
          </w:p>
          <w:p w:rsidR="00BE4D93" w:rsidRPr="002653E2" w:rsidRDefault="00BE4D93" w:rsidP="00A62D8B">
            <w:pPr>
              <w:tabs>
                <w:tab w:val="left" w:pos="7043"/>
              </w:tabs>
              <w:spacing w:after="0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</w:pPr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>Prime Minister’s Office (Public)</w:t>
            </w:r>
          </w:p>
          <w:p w:rsidR="00BE4D93" w:rsidRPr="002653E2" w:rsidRDefault="00BE4D93" w:rsidP="00A62D8B">
            <w:pPr>
              <w:pStyle w:val="NoSpacing"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 xml:space="preserve">Earthquake Reconstruction and Rehabilitation Authority, Opposite </w:t>
            </w:r>
            <w:proofErr w:type="spellStart"/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>Margalla</w:t>
            </w:r>
            <w:proofErr w:type="spellEnd"/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 xml:space="preserve"> Town, Main </w:t>
            </w:r>
            <w:proofErr w:type="spellStart"/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>Murree</w:t>
            </w:r>
            <w:proofErr w:type="spellEnd"/>
            <w:r w:rsidRPr="002653E2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  <w:lang w:val="en-GB"/>
              </w:rPr>
              <w:t xml:space="preserve"> Road, Islamabad</w:t>
            </w:r>
          </w:p>
          <w:p w:rsidR="00BE4D93" w:rsidRPr="002653E2" w:rsidRDefault="00BE4D93" w:rsidP="00A62D8B">
            <w:pPr>
              <w:pStyle w:val="NoSpacing"/>
              <w:spacing w:after="160" w:line="240" w:lineRule="exact"/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4D93" w:rsidRPr="002653E2" w:rsidRDefault="00BE4D93" w:rsidP="00A62D8B">
            <w:pPr>
              <w:spacing w:after="160" w:line="240" w:lineRule="exact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2653E2">
              <w:rPr>
                <w:rFonts w:ascii="Arial" w:hAnsi="Arial" w:cs="Arial"/>
                <w:b/>
                <w:bCs/>
                <w:noProof/>
                <w:color w:val="262626" w:themeColor="text1" w:themeTint="D9"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76200</wp:posOffset>
                  </wp:positionV>
                  <wp:extent cx="848360" cy="809625"/>
                  <wp:effectExtent l="19050" t="0" r="8890" b="0"/>
                  <wp:wrapNone/>
                  <wp:docPr id="60" name="Picture 2" descr="ERRA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RA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E4D93" w:rsidRPr="002653E2" w:rsidRDefault="00BE4D93" w:rsidP="00BE4D93">
      <w:pPr>
        <w:spacing w:before="240"/>
        <w:ind w:right="-43"/>
        <w:rPr>
          <w:rFonts w:ascii="Arial" w:hAnsi="Arial" w:cs="Arial"/>
          <w:color w:val="262626" w:themeColor="text1" w:themeTint="D9"/>
          <w:sz w:val="24"/>
          <w:szCs w:val="24"/>
        </w:rPr>
      </w:pPr>
      <w:proofErr w:type="spellStart"/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>F.No</w:t>
      </w:r>
      <w:proofErr w:type="spellEnd"/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>. 1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>5(3)/2025</w:t>
      </w:r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>-7/Proc/202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>             </w:t>
      </w:r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ab/>
        <w:t>    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 xml:space="preserve">                        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ab/>
        <w:t xml:space="preserve"> 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ab/>
        <w:t xml:space="preserve">   </w:t>
      </w:r>
      <w:r w:rsidR="006D6677">
        <w:rPr>
          <w:rFonts w:ascii="Arial" w:hAnsi="Arial" w:cs="Arial"/>
          <w:color w:val="262626" w:themeColor="text1" w:themeTint="D9"/>
          <w:sz w:val="24"/>
          <w:szCs w:val="24"/>
        </w:rPr>
        <w:t xml:space="preserve">    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 xml:space="preserve"> Date: </w:t>
      </w:r>
      <w:r w:rsidR="00301043">
        <w:rPr>
          <w:rFonts w:ascii="Arial" w:hAnsi="Arial" w:cs="Arial"/>
          <w:color w:val="262626" w:themeColor="text1" w:themeTint="D9"/>
          <w:sz w:val="24"/>
          <w:szCs w:val="24"/>
        </w:rPr>
        <w:t>31</w:t>
      </w:r>
      <w:r w:rsidR="00301043" w:rsidRPr="00301043">
        <w:rPr>
          <w:rFonts w:ascii="Arial" w:hAnsi="Arial" w:cs="Arial"/>
          <w:color w:val="262626" w:themeColor="text1" w:themeTint="D9"/>
          <w:sz w:val="24"/>
          <w:szCs w:val="24"/>
          <w:vertAlign w:val="superscript"/>
        </w:rPr>
        <w:t>st</w:t>
      </w:r>
      <w:r w:rsidR="00301043"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>Oct</w:t>
      </w:r>
      <w:r w:rsidRPr="002653E2">
        <w:rPr>
          <w:rFonts w:ascii="Arial" w:hAnsi="Arial" w:cs="Arial"/>
          <w:color w:val="262626" w:themeColor="text1" w:themeTint="D9"/>
          <w:sz w:val="24"/>
          <w:szCs w:val="24"/>
        </w:rPr>
        <w:t>, 202</w:t>
      </w:r>
      <w:r>
        <w:rPr>
          <w:rFonts w:ascii="Arial" w:hAnsi="Arial" w:cs="Arial"/>
          <w:color w:val="262626" w:themeColor="text1" w:themeTint="D9"/>
          <w:sz w:val="24"/>
          <w:szCs w:val="24"/>
        </w:rPr>
        <w:t>5</w:t>
      </w:r>
    </w:p>
    <w:p w:rsidR="00BE4D93" w:rsidRPr="002653E2" w:rsidRDefault="00BE4D93" w:rsidP="00BE4D93">
      <w:pPr>
        <w:spacing w:after="0"/>
        <w:rPr>
          <w:rFonts w:ascii="Arial" w:eastAsia="Times New Roman" w:hAnsi="Arial" w:cs="Arial"/>
          <w:color w:val="262626" w:themeColor="text1" w:themeTint="D9"/>
          <w:sz w:val="24"/>
          <w:szCs w:val="24"/>
        </w:rPr>
      </w:pPr>
    </w:p>
    <w:p w:rsidR="00BE4D93" w:rsidRPr="002653E2" w:rsidRDefault="00BE4D93" w:rsidP="00D57EBB">
      <w:pPr>
        <w:spacing w:after="0" w:line="240" w:lineRule="auto"/>
        <w:ind w:right="-43"/>
        <w:jc w:val="center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2653E2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Auction </w:t>
      </w:r>
      <w:r w:rsidR="00D57EBB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of </w:t>
      </w:r>
      <w:r w:rsidR="00447243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Unserviceable</w:t>
      </w:r>
      <w:r w:rsidR="00D57EBB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 Construction Equipment / Material</w:t>
      </w:r>
    </w:p>
    <w:p w:rsidR="00D57EBB" w:rsidRPr="00AF36C6" w:rsidRDefault="00D57EBB" w:rsidP="00D57EBB">
      <w:pPr>
        <w:pStyle w:val="ListParagraph"/>
        <w:numPr>
          <w:ilvl w:val="0"/>
          <w:numId w:val="8"/>
        </w:numPr>
        <w:spacing w:before="240" w:line="360" w:lineRule="auto"/>
        <w:ind w:left="0" w:firstLine="0"/>
        <w:jc w:val="both"/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ERRA intends to dispose </w:t>
      </w:r>
      <w:proofErr w:type="spellStart"/>
      <w:r>
        <w:rPr>
          <w:rFonts w:ascii="Arial" w:hAnsi="Arial" w:cs="Arial"/>
          <w:color w:val="262626" w:themeColor="text1" w:themeTint="D9"/>
          <w:sz w:val="24"/>
          <w:szCs w:val="24"/>
        </w:rPr>
        <w:t>off</w:t>
      </w:r>
      <w:proofErr w:type="spellEnd"/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subject assets through open auction. Auction will be held at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PERRA, Abbottabad (KPK)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ED5E5F">
        <w:rPr>
          <w:rFonts w:ascii="Arial" w:hAnsi="Arial" w:cs="Arial"/>
          <w:b/>
          <w:color w:val="262626" w:themeColor="text1" w:themeTint="D9"/>
          <w:sz w:val="24"/>
          <w:szCs w:val="24"/>
        </w:rPr>
        <w:t>on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1</w:t>
      </w:r>
      <w:r w:rsidR="006D6677">
        <w:rPr>
          <w:rFonts w:ascii="Arial" w:hAnsi="Arial" w:cs="Arial"/>
          <w:b/>
          <w:color w:val="262626" w:themeColor="text1" w:themeTint="D9"/>
          <w:sz w:val="24"/>
          <w:szCs w:val="24"/>
        </w:rPr>
        <w:t>8</w:t>
      </w:r>
      <w:r w:rsidRPr="00D57EBB">
        <w:rPr>
          <w:rFonts w:ascii="Arial" w:hAnsi="Arial" w:cs="Arial"/>
          <w:b/>
          <w:color w:val="262626" w:themeColor="text1" w:themeTint="D9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Nov,</w:t>
      </w:r>
      <w:r w:rsidRPr="00ED5E5F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202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5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at </w:t>
      </w:r>
      <w:r w:rsidRPr="00040408">
        <w:rPr>
          <w:rFonts w:ascii="Arial" w:hAnsi="Arial" w:cs="Arial"/>
          <w:b/>
          <w:color w:val="262626" w:themeColor="text1" w:themeTint="D9"/>
          <w:sz w:val="24"/>
          <w:szCs w:val="24"/>
        </w:rPr>
        <w:t>1</w:t>
      </w:r>
      <w:r w:rsidR="000F5D97">
        <w:rPr>
          <w:rFonts w:ascii="Arial" w:hAnsi="Arial" w:cs="Arial"/>
          <w:b/>
          <w:color w:val="262626" w:themeColor="text1" w:themeTint="D9"/>
          <w:sz w:val="24"/>
          <w:szCs w:val="24"/>
        </w:rPr>
        <w:t>0</w:t>
      </w:r>
      <w:r w:rsidRPr="00040408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00 </w:t>
      </w:r>
      <w:r>
        <w:rPr>
          <w:rFonts w:ascii="Arial" w:hAnsi="Arial" w:cs="Arial"/>
          <w:b/>
          <w:color w:val="262626" w:themeColor="text1" w:themeTint="D9"/>
          <w:sz w:val="24"/>
          <w:szCs w:val="24"/>
        </w:rPr>
        <w:t>A</w:t>
      </w:r>
      <w:r w:rsidRPr="00040408">
        <w:rPr>
          <w:rFonts w:ascii="Arial" w:hAnsi="Arial" w:cs="Arial"/>
          <w:b/>
          <w:color w:val="262626" w:themeColor="text1" w:themeTint="D9"/>
          <w:sz w:val="24"/>
          <w:szCs w:val="24"/>
        </w:rPr>
        <w:t>M</w:t>
      </w:r>
      <w:r w:rsidRPr="00E87E88">
        <w:rPr>
          <w:rFonts w:ascii="Arial" w:hAnsi="Arial" w:cs="Arial"/>
          <w:color w:val="262626" w:themeColor="text1" w:themeTint="D9"/>
          <w:sz w:val="24"/>
          <w:szCs w:val="24"/>
        </w:rPr>
        <w:t>.</w:t>
      </w: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 </w:t>
      </w:r>
      <w:r w:rsidRPr="00AF36C6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List of </w:t>
      </w:r>
      <w:r w:rsidR="00447243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unserviceable</w:t>
      </w:r>
      <w:r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 scrap construction equipment / material </w:t>
      </w:r>
      <w:r w:rsidRPr="00AF36C6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can be obtained from Procurement </w:t>
      </w:r>
      <w:r w:rsidR="006D6677" w:rsidRPr="00AF36C6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Section,</w:t>
      </w:r>
      <w:r w:rsidRPr="00AF36C6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 ERRA</w:t>
      </w:r>
      <w:r w:rsidRPr="00D57EBB">
        <w:rPr>
          <w:rFonts w:ascii="Arial" w:hAnsi="Arial" w:cs="Arial"/>
          <w:color w:val="262626" w:themeColor="text1" w:themeTint="D9"/>
          <w:sz w:val="24"/>
          <w:szCs w:val="24"/>
        </w:rPr>
        <w:t>.</w:t>
      </w:r>
    </w:p>
    <w:p w:rsidR="00D57EBB" w:rsidRPr="006252C1" w:rsidRDefault="00B57A80" w:rsidP="00D57EBB">
      <w:pPr>
        <w:pStyle w:val="ListParagraph"/>
        <w:numPr>
          <w:ilvl w:val="0"/>
          <w:numId w:val="8"/>
        </w:numPr>
        <w:spacing w:before="240" w:line="360" w:lineRule="auto"/>
        <w:ind w:left="0" w:firstLine="0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 xml:space="preserve">Auction notice can </w:t>
      </w:r>
      <w:r w:rsidR="00D57EBB" w:rsidRPr="006252C1">
        <w:rPr>
          <w:rFonts w:ascii="Arial" w:hAnsi="Arial" w:cs="Arial"/>
          <w:color w:val="262626" w:themeColor="text1" w:themeTint="D9"/>
          <w:sz w:val="24"/>
          <w:szCs w:val="24"/>
        </w:rPr>
        <w:t xml:space="preserve">be downloaded from PPRA and </w:t>
      </w:r>
      <w:r w:rsidR="00D57EBB">
        <w:rPr>
          <w:rFonts w:ascii="Arial" w:hAnsi="Arial" w:cs="Arial"/>
          <w:color w:val="262626" w:themeColor="text1" w:themeTint="D9"/>
          <w:sz w:val="24"/>
          <w:szCs w:val="24"/>
        </w:rPr>
        <w:t>NDMA</w:t>
      </w:r>
      <w:r w:rsidR="00D57EBB" w:rsidRPr="006252C1">
        <w:rPr>
          <w:rFonts w:ascii="Arial" w:hAnsi="Arial" w:cs="Arial"/>
          <w:color w:val="262626" w:themeColor="text1" w:themeTint="D9"/>
          <w:sz w:val="24"/>
          <w:szCs w:val="24"/>
        </w:rPr>
        <w:t xml:space="preserve"> websites from </w:t>
      </w:r>
      <w:hyperlink r:id="rId10" w:history="1">
        <w:r w:rsidR="00D57EBB" w:rsidRPr="001C7EE9">
          <w:rPr>
            <w:rStyle w:val="Hyperlink"/>
            <w:rFonts w:ascii="Arial" w:hAnsi="Arial" w:cs="Arial"/>
            <w:b/>
            <w:sz w:val="24"/>
            <w:szCs w:val="24"/>
          </w:rPr>
          <w:t>www.ndma.gov.pk</w:t>
        </w:r>
      </w:hyperlink>
      <w:r w:rsidR="00D57EBB" w:rsidRPr="006252C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&amp; </w:t>
      </w:r>
      <w:hyperlink r:id="rId11" w:history="1">
        <w:r w:rsidR="00D57EBB" w:rsidRPr="006252C1">
          <w:rPr>
            <w:rStyle w:val="Hyperlink"/>
            <w:rFonts w:ascii="Arial" w:hAnsi="Arial" w:cs="Arial"/>
            <w:b/>
            <w:color w:val="262626" w:themeColor="text1" w:themeTint="D9"/>
            <w:sz w:val="24"/>
            <w:szCs w:val="24"/>
            <w:u w:val="none"/>
          </w:rPr>
          <w:t>www.ppra.gov.pk</w:t>
        </w:r>
      </w:hyperlink>
      <w:r w:rsidR="00D57EBB" w:rsidRPr="006252C1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</w:t>
      </w:r>
      <w:r w:rsidR="00D57EBB" w:rsidRPr="006252C1">
        <w:rPr>
          <w:rFonts w:ascii="Arial" w:hAnsi="Arial" w:cs="Arial"/>
          <w:color w:val="262626" w:themeColor="text1" w:themeTint="D9"/>
          <w:sz w:val="24"/>
          <w:szCs w:val="24"/>
        </w:rPr>
        <w:t xml:space="preserve">respectively and the stores may be visited/ inspected </w:t>
      </w:r>
      <w:r w:rsidR="000F5D97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one day before auction at 10</w:t>
      </w:r>
      <w:r w:rsidR="00D57EBB" w:rsidRPr="00ED5E5F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 xml:space="preserve">00 </w:t>
      </w:r>
      <w:r w:rsidR="00D57EBB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A</w:t>
      </w:r>
      <w:r w:rsidR="00D57EBB" w:rsidRPr="00ED5E5F">
        <w:rPr>
          <w:rFonts w:ascii="Arial" w:hAnsi="Arial" w:cs="Arial"/>
          <w:b/>
          <w:color w:val="262626" w:themeColor="text1" w:themeTint="D9"/>
          <w:sz w:val="24"/>
          <w:szCs w:val="24"/>
          <w:u w:val="single"/>
        </w:rPr>
        <w:t>M</w:t>
      </w:r>
      <w:r w:rsidR="00D57EBB" w:rsidRPr="00A704DE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at above mentioned locations</w:t>
      </w:r>
      <w:r w:rsidR="00D57EBB" w:rsidRPr="006252C1">
        <w:rPr>
          <w:rFonts w:ascii="Arial" w:hAnsi="Arial" w:cs="Arial"/>
          <w:color w:val="262626" w:themeColor="text1" w:themeTint="D9"/>
          <w:sz w:val="24"/>
          <w:szCs w:val="24"/>
        </w:rPr>
        <w:t xml:space="preserve">. </w:t>
      </w:r>
    </w:p>
    <w:p w:rsidR="00BE4D93" w:rsidRPr="002653E2" w:rsidRDefault="00D57EBB" w:rsidP="00B57A80">
      <w:pPr>
        <w:pStyle w:val="ListParagraph"/>
        <w:numPr>
          <w:ilvl w:val="0"/>
          <w:numId w:val="8"/>
        </w:numPr>
        <w:spacing w:before="360" w:line="360" w:lineRule="auto"/>
        <w:ind w:left="0" w:firstLine="0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392021">
        <w:rPr>
          <w:rFonts w:ascii="Arial" w:hAnsi="Arial" w:cs="Arial"/>
          <w:color w:val="262626" w:themeColor="text1" w:themeTint="D9"/>
          <w:sz w:val="24"/>
          <w:szCs w:val="24"/>
        </w:rPr>
        <w:t xml:space="preserve">The full </w:t>
      </w:r>
      <w:r>
        <w:rPr>
          <w:rFonts w:ascii="Arial" w:hAnsi="Arial" w:cs="Arial"/>
          <w:color w:val="262626" w:themeColor="text1" w:themeTint="D9"/>
          <w:sz w:val="24"/>
          <w:szCs w:val="24"/>
        </w:rPr>
        <w:t>payment shall have to be deposited on the same day in shape of Bank Draft/ Pay Order/ Cash. The store will be taken out by the firm/ individual within one day</w:t>
      </w: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p w:rsidR="000F5D97" w:rsidRP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  <w:r>
        <w:rPr>
          <w:rFonts w:ascii="Arial" w:hAnsi="Arial" w:cs="Arial"/>
          <w:color w:val="262626" w:themeColor="text1" w:themeTint="D9"/>
          <w:sz w:val="24"/>
          <w:szCs w:val="24"/>
        </w:rPr>
        <w:t>Director</w:t>
      </w:r>
      <w:r w:rsidRPr="000F5D97">
        <w:rPr>
          <w:rFonts w:ascii="Arial" w:hAnsi="Arial" w:cs="Arial"/>
          <w:color w:val="262626" w:themeColor="text1" w:themeTint="D9"/>
          <w:sz w:val="24"/>
          <w:szCs w:val="24"/>
        </w:rPr>
        <w:t xml:space="preserve"> (Procurement), ERRA</w:t>
      </w:r>
    </w:p>
    <w:p w:rsidR="000F5D97" w:rsidRPr="000F5D97" w:rsidRDefault="000F5D97" w:rsidP="000F5D97">
      <w:pPr>
        <w:pStyle w:val="ListParagraph"/>
        <w:spacing w:after="0" w:line="240" w:lineRule="auto"/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  <w:proofErr w:type="spellStart"/>
      <w:r w:rsidRPr="000F5D97">
        <w:rPr>
          <w:rFonts w:ascii="Arial" w:hAnsi="Arial" w:cs="Arial"/>
          <w:color w:val="262626" w:themeColor="text1" w:themeTint="D9"/>
          <w:sz w:val="24"/>
          <w:szCs w:val="24"/>
        </w:rPr>
        <w:t>Ph</w:t>
      </w:r>
      <w:proofErr w:type="spellEnd"/>
      <w:r w:rsidR="006D6677">
        <w:rPr>
          <w:rFonts w:ascii="Arial" w:hAnsi="Arial" w:cs="Arial"/>
          <w:color w:val="262626" w:themeColor="text1" w:themeTint="D9"/>
          <w:sz w:val="24"/>
          <w:szCs w:val="24"/>
        </w:rPr>
        <w:t xml:space="preserve"> #</w:t>
      </w:r>
      <w:r w:rsidRPr="000F5D97">
        <w:rPr>
          <w:rFonts w:ascii="Arial" w:hAnsi="Arial" w:cs="Arial"/>
          <w:color w:val="262626" w:themeColor="text1" w:themeTint="D9"/>
          <w:sz w:val="24"/>
          <w:szCs w:val="24"/>
        </w:rPr>
        <w:t>: 051-9030</w:t>
      </w:r>
      <w:r>
        <w:rPr>
          <w:rFonts w:ascii="Arial" w:hAnsi="Arial" w:cs="Arial"/>
          <w:color w:val="262626" w:themeColor="text1" w:themeTint="D9"/>
          <w:sz w:val="24"/>
          <w:szCs w:val="24"/>
        </w:rPr>
        <w:t>853</w:t>
      </w:r>
    </w:p>
    <w:p w:rsidR="000051F2" w:rsidRDefault="000051F2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7198"/>
        <w:gridCol w:w="1374"/>
      </w:tblGrid>
      <w:tr w:rsidR="001123C0" w:rsidRPr="001123C0" w:rsidTr="00733C41">
        <w:trPr>
          <w:trHeight w:val="852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C0" w:rsidRPr="001123C0" w:rsidRDefault="001123C0" w:rsidP="00733C41">
            <w:pPr>
              <w:tabs>
                <w:tab w:val="left" w:pos="720"/>
              </w:tabs>
              <w:ind w:right="63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758592" behindDoc="0" locked="0" layoutInCell="1" allowOverlap="0" wp14:anchorId="378A7A30" wp14:editId="567E5B2D">
                  <wp:simplePos x="0" y="0"/>
                  <wp:positionH relativeFrom="column">
                    <wp:posOffset>26670</wp:posOffset>
                  </wp:positionH>
                  <wp:positionV relativeFrom="line">
                    <wp:posOffset>-66675</wp:posOffset>
                  </wp:positionV>
                  <wp:extent cx="666750" cy="695325"/>
                  <wp:effectExtent l="19050" t="0" r="0" b="0"/>
                  <wp:wrapNone/>
                  <wp:docPr id="7" name="Picture 3" descr="GoP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oP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23C0">
              <w:rPr>
                <w:rFonts w:ascii="Arial" w:hAnsi="Arial" w:cs="Arial"/>
                <w:sz w:val="24"/>
                <w:szCs w:val="24"/>
              </w:rPr>
              <w:br w:type="page"/>
            </w:r>
            <w:r w:rsidRPr="001123C0">
              <w:rPr>
                <w:rFonts w:ascii="Arial" w:hAnsi="Arial" w:cs="Arial"/>
                <w:sz w:val="24"/>
                <w:szCs w:val="24"/>
              </w:rPr>
              <w:br w:type="page"/>
            </w:r>
            <w:r w:rsidRPr="001123C0">
              <w:rPr>
                <w:rFonts w:ascii="Arial" w:hAnsi="Arial" w:cs="Arial"/>
                <w:sz w:val="24"/>
                <w:szCs w:val="24"/>
              </w:rPr>
              <w:br w:type="page"/>
            </w:r>
            <w:r w:rsidRPr="001123C0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123C0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1123C0">
              <w:rPr>
                <w:rFonts w:ascii="Arial" w:hAnsi="Arial" w:cs="Arial"/>
                <w:sz w:val="24"/>
                <w:szCs w:val="24"/>
                <w:lang w:val="it-IT"/>
              </w:rPr>
              <w:br w:type="page"/>
            </w:r>
          </w:p>
        </w:tc>
        <w:tc>
          <w:tcPr>
            <w:tcW w:w="35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C0" w:rsidRPr="001123C0" w:rsidRDefault="001123C0" w:rsidP="00733C4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123C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59616" behindDoc="0" locked="0" layoutInCell="1" allowOverlap="1" wp14:anchorId="487CC216" wp14:editId="752E9FAE">
                  <wp:simplePos x="0" y="0"/>
                  <wp:positionH relativeFrom="column">
                    <wp:posOffset>4493260</wp:posOffset>
                  </wp:positionH>
                  <wp:positionV relativeFrom="paragraph">
                    <wp:posOffset>-38100</wp:posOffset>
                  </wp:positionV>
                  <wp:extent cx="762000" cy="752475"/>
                  <wp:effectExtent l="19050" t="0" r="0" b="0"/>
                  <wp:wrapNone/>
                  <wp:docPr id="8" name="Picture 2" descr="ERRA M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RRA M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>Government of Pakistan</w:t>
            </w:r>
          </w:p>
          <w:p w:rsidR="001123C0" w:rsidRPr="001123C0" w:rsidRDefault="001123C0" w:rsidP="00733C4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 xml:space="preserve">Prime Minister’s Office </w:t>
            </w:r>
          </w:p>
          <w:p w:rsidR="001123C0" w:rsidRPr="001123C0" w:rsidRDefault="001123C0" w:rsidP="00733C4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>Earthquake Reconstruction and Rehabilitation Authority</w:t>
            </w:r>
          </w:p>
          <w:p w:rsidR="001123C0" w:rsidRPr="001123C0" w:rsidRDefault="001123C0" w:rsidP="00733C4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 xml:space="preserve">Opposite </w:t>
            </w:r>
            <w:proofErr w:type="spellStart"/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>Margalla</w:t>
            </w:r>
            <w:proofErr w:type="spellEnd"/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 xml:space="preserve"> Town, Main </w:t>
            </w:r>
            <w:proofErr w:type="spellStart"/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>Murree</w:t>
            </w:r>
            <w:proofErr w:type="spellEnd"/>
            <w:r w:rsidRPr="001123C0">
              <w:rPr>
                <w:rFonts w:ascii="Arial" w:hAnsi="Arial" w:cs="Arial"/>
                <w:sz w:val="24"/>
                <w:szCs w:val="24"/>
                <w:lang w:val="en-GB"/>
              </w:rPr>
              <w:t xml:space="preserve"> Road</w:t>
            </w:r>
          </w:p>
          <w:p w:rsidR="001123C0" w:rsidRPr="001123C0" w:rsidRDefault="001123C0" w:rsidP="00733C41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 w:rsidRPr="001123C0"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  <w:t>Islamabad</w:t>
            </w:r>
          </w:p>
        </w:tc>
        <w:tc>
          <w:tcPr>
            <w:tcW w:w="67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23C0" w:rsidRPr="001123C0" w:rsidRDefault="001123C0" w:rsidP="00733C41">
            <w:pPr>
              <w:tabs>
                <w:tab w:val="left" w:pos="720"/>
              </w:tabs>
              <w:ind w:right="634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1123C0" w:rsidRPr="005A02C4" w:rsidRDefault="001123C0" w:rsidP="001123C0">
      <w:pPr>
        <w:rPr>
          <w:rFonts w:ascii="Arial" w:hAnsi="Arial" w:cs="Arial"/>
          <w:sz w:val="12"/>
          <w:szCs w:val="24"/>
        </w:rPr>
      </w:pPr>
    </w:p>
    <w:p w:rsidR="001123C0" w:rsidRPr="001123C0" w:rsidRDefault="001123C0" w:rsidP="005A02C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>F. No 6(6)/2022/</w:t>
      </w:r>
      <w:proofErr w:type="spellStart"/>
      <w:r w:rsidRPr="001123C0">
        <w:rPr>
          <w:rFonts w:ascii="Arial" w:hAnsi="Arial" w:cs="Arial"/>
          <w:sz w:val="24"/>
          <w:szCs w:val="24"/>
        </w:rPr>
        <w:t>Proc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 /ERRA                      </w:t>
      </w:r>
      <w:r w:rsidRPr="001123C0">
        <w:rPr>
          <w:rFonts w:ascii="Arial" w:hAnsi="Arial" w:cs="Arial"/>
          <w:sz w:val="24"/>
          <w:szCs w:val="24"/>
        </w:rPr>
        <w:tab/>
      </w:r>
      <w:r w:rsidRPr="001123C0">
        <w:rPr>
          <w:rFonts w:ascii="Arial" w:hAnsi="Arial" w:cs="Arial"/>
          <w:sz w:val="24"/>
          <w:szCs w:val="24"/>
        </w:rPr>
        <w:tab/>
      </w:r>
      <w:r w:rsidRPr="001123C0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823ED3">
        <w:rPr>
          <w:rFonts w:ascii="Arial" w:hAnsi="Arial" w:cs="Arial"/>
          <w:sz w:val="24"/>
          <w:szCs w:val="24"/>
        </w:rPr>
        <w:t xml:space="preserve">    </w:t>
      </w:r>
      <w:r w:rsidR="005A02C4">
        <w:rPr>
          <w:rFonts w:ascii="Arial" w:hAnsi="Arial" w:cs="Arial"/>
          <w:sz w:val="24"/>
          <w:szCs w:val="24"/>
        </w:rPr>
        <w:t xml:space="preserve"> </w:t>
      </w:r>
      <w:r w:rsidRPr="001123C0"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>:</w:t>
      </w:r>
      <w:r w:rsidRPr="001123C0">
        <w:rPr>
          <w:rFonts w:ascii="Arial" w:hAnsi="Arial" w:cs="Arial"/>
          <w:sz w:val="24"/>
          <w:szCs w:val="24"/>
        </w:rPr>
        <w:t xml:space="preserve"> </w:t>
      </w:r>
      <w:r w:rsidR="00301043">
        <w:rPr>
          <w:rFonts w:ascii="Arial" w:hAnsi="Arial" w:cs="Arial"/>
          <w:sz w:val="24"/>
          <w:szCs w:val="24"/>
        </w:rPr>
        <w:t>31</w:t>
      </w:r>
      <w:r w:rsidR="00301043" w:rsidRPr="00301043">
        <w:rPr>
          <w:rFonts w:ascii="Arial" w:hAnsi="Arial" w:cs="Arial"/>
          <w:sz w:val="24"/>
          <w:szCs w:val="24"/>
          <w:vertAlign w:val="superscript"/>
        </w:rPr>
        <w:t>st</w:t>
      </w:r>
      <w:r w:rsidR="003010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</w:t>
      </w:r>
      <w:r w:rsidRPr="001123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123C0">
        <w:rPr>
          <w:rFonts w:ascii="Arial" w:hAnsi="Arial" w:cs="Arial"/>
          <w:sz w:val="24"/>
          <w:szCs w:val="24"/>
        </w:rPr>
        <w:t>2025</w:t>
      </w:r>
    </w:p>
    <w:p w:rsidR="001123C0" w:rsidRPr="001123C0" w:rsidRDefault="001123C0" w:rsidP="001123C0">
      <w:pPr>
        <w:ind w:left="1440" w:hanging="1440"/>
        <w:jc w:val="center"/>
        <w:rPr>
          <w:rFonts w:ascii="Arial" w:hAnsi="Arial" w:cs="Arial"/>
          <w:sz w:val="24"/>
          <w:szCs w:val="24"/>
        </w:rPr>
      </w:pPr>
      <w:r w:rsidRPr="001123C0">
        <w:rPr>
          <w:rFonts w:ascii="Arial" w:hAnsi="Arial" w:cs="Arial"/>
          <w:b/>
          <w:sz w:val="24"/>
          <w:szCs w:val="24"/>
          <w:u w:val="single"/>
        </w:rPr>
        <w:t>AUCTION NOTICE</w:t>
      </w:r>
    </w:p>
    <w:p w:rsidR="001123C0" w:rsidRPr="001123C0" w:rsidRDefault="001123C0" w:rsidP="005A02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3C0">
        <w:rPr>
          <w:rFonts w:ascii="Arial" w:hAnsi="Arial" w:cs="Arial"/>
          <w:sz w:val="24"/>
          <w:szCs w:val="24"/>
        </w:rPr>
        <w:tab/>
      </w:r>
      <w:r w:rsidRPr="001123C0">
        <w:rPr>
          <w:rFonts w:ascii="Arial" w:hAnsi="Arial" w:cs="Arial"/>
          <w:sz w:val="24"/>
          <w:szCs w:val="24"/>
        </w:rPr>
        <w:tab/>
        <w:t xml:space="preserve">Earthquake Reconstruction &amp; Rehabilitation Authority (ERRA) intends to auction various types of </w:t>
      </w:r>
      <w:r w:rsidR="00823ED3">
        <w:rPr>
          <w:rFonts w:ascii="Arial" w:hAnsi="Arial" w:cs="Arial"/>
          <w:sz w:val="24"/>
          <w:szCs w:val="24"/>
        </w:rPr>
        <w:t xml:space="preserve">following </w:t>
      </w:r>
      <w:r w:rsidR="00447243">
        <w:rPr>
          <w:rFonts w:ascii="Arial" w:hAnsi="Arial" w:cs="Arial"/>
          <w:sz w:val="24"/>
          <w:szCs w:val="24"/>
        </w:rPr>
        <w:t>Unserviceable</w:t>
      </w:r>
      <w:r w:rsidR="00823ED3" w:rsidRPr="00823ED3">
        <w:rPr>
          <w:rFonts w:ascii="Arial" w:hAnsi="Arial" w:cs="Arial"/>
          <w:sz w:val="24"/>
          <w:szCs w:val="24"/>
        </w:rPr>
        <w:t xml:space="preserve"> Scrap Construction Equipment/ Material</w:t>
      </w:r>
      <w:r w:rsidR="00823ED3">
        <w:rPr>
          <w:rFonts w:ascii="Arial" w:hAnsi="Arial" w:cs="Arial"/>
          <w:sz w:val="24"/>
          <w:szCs w:val="24"/>
        </w:rPr>
        <w:t xml:space="preserve"> located at PERRA, Abbottabad (KPK):</w:t>
      </w:r>
      <w:r w:rsidR="00823ED3" w:rsidRPr="001123C0">
        <w:rPr>
          <w:rFonts w:ascii="Arial" w:hAnsi="Arial" w:cs="Arial"/>
          <w:sz w:val="24"/>
          <w:szCs w:val="24"/>
        </w:rPr>
        <w:t xml:space="preserve"> </w:t>
      </w:r>
      <w:r w:rsidRPr="001123C0">
        <w:rPr>
          <w:rFonts w:ascii="Arial" w:hAnsi="Arial" w:cs="Arial"/>
          <w:sz w:val="24"/>
          <w:szCs w:val="24"/>
        </w:rPr>
        <w:t>-</w:t>
      </w:r>
    </w:p>
    <w:tbl>
      <w:tblPr>
        <w:tblW w:w="0" w:type="auto"/>
        <w:tblInd w:w="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418"/>
        <w:gridCol w:w="2583"/>
      </w:tblGrid>
      <w:tr w:rsidR="00823ED3" w:rsidRPr="001123C0" w:rsidTr="005A02C4">
        <w:tc>
          <w:tcPr>
            <w:tcW w:w="612" w:type="dxa"/>
          </w:tcPr>
          <w:p w:rsidR="00823ED3" w:rsidRPr="001123C0" w:rsidRDefault="00823ED3" w:rsidP="005A02C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23C0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er</w:t>
            </w:r>
            <w:proofErr w:type="spellEnd"/>
          </w:p>
        </w:tc>
        <w:tc>
          <w:tcPr>
            <w:tcW w:w="5418" w:type="dxa"/>
          </w:tcPr>
          <w:p w:rsidR="00823ED3" w:rsidRPr="001123C0" w:rsidRDefault="00823ED3" w:rsidP="005A02C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123C0">
              <w:rPr>
                <w:rFonts w:ascii="Arial" w:hAnsi="Arial" w:cs="Arial"/>
                <w:b/>
                <w:sz w:val="24"/>
                <w:szCs w:val="24"/>
              </w:rPr>
              <w:t xml:space="preserve">Type of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Stores </w:t>
            </w:r>
          </w:p>
        </w:tc>
        <w:tc>
          <w:tcPr>
            <w:tcW w:w="2583" w:type="dxa"/>
          </w:tcPr>
          <w:p w:rsidR="00823ED3" w:rsidRPr="001123C0" w:rsidRDefault="00823ED3" w:rsidP="005A0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3C0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823ED3" w:rsidRPr="001123C0" w:rsidTr="005A02C4">
        <w:tc>
          <w:tcPr>
            <w:tcW w:w="612" w:type="dxa"/>
          </w:tcPr>
          <w:p w:rsidR="00823ED3" w:rsidRPr="001123C0" w:rsidRDefault="005A02C4" w:rsidP="005A02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</w:p>
        </w:tc>
        <w:tc>
          <w:tcPr>
            <w:tcW w:w="5418" w:type="dxa"/>
          </w:tcPr>
          <w:p w:rsidR="00823ED3" w:rsidRPr="001123C0" w:rsidRDefault="00823ED3" w:rsidP="005A02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Construction Equipment </w:t>
            </w:r>
          </w:p>
        </w:tc>
        <w:tc>
          <w:tcPr>
            <w:tcW w:w="2583" w:type="dxa"/>
          </w:tcPr>
          <w:p w:rsidR="00823ED3" w:rsidRPr="001123C0" w:rsidRDefault="00823ED3" w:rsidP="005A02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823ED3" w:rsidRPr="001123C0" w:rsidTr="005A02C4">
        <w:tc>
          <w:tcPr>
            <w:tcW w:w="612" w:type="dxa"/>
          </w:tcPr>
          <w:p w:rsidR="00823ED3" w:rsidRPr="001123C0" w:rsidRDefault="005A02C4" w:rsidP="005A02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</w:t>
            </w:r>
          </w:p>
        </w:tc>
        <w:tc>
          <w:tcPr>
            <w:tcW w:w="5418" w:type="dxa"/>
          </w:tcPr>
          <w:p w:rsidR="00823ED3" w:rsidRPr="001123C0" w:rsidRDefault="00823ED3" w:rsidP="005A02C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Office furniture / Equipment </w:t>
            </w:r>
          </w:p>
        </w:tc>
        <w:tc>
          <w:tcPr>
            <w:tcW w:w="2583" w:type="dxa"/>
          </w:tcPr>
          <w:p w:rsidR="00823ED3" w:rsidRPr="001123C0" w:rsidRDefault="00823ED3" w:rsidP="005A02C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823ED3" w:rsidRPr="001123C0" w:rsidTr="00823ED3">
        <w:tc>
          <w:tcPr>
            <w:tcW w:w="6030" w:type="dxa"/>
            <w:gridSpan w:val="2"/>
          </w:tcPr>
          <w:p w:rsidR="00823ED3" w:rsidRPr="001123C0" w:rsidRDefault="00823ED3" w:rsidP="005A0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3C0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823ED3">
              <w:rPr>
                <w:rFonts w:ascii="Arial" w:hAnsi="Arial" w:cs="Arial"/>
                <w:sz w:val="24"/>
                <w:szCs w:val="24"/>
              </w:rPr>
              <w:t>:-</w:t>
            </w:r>
          </w:p>
        </w:tc>
        <w:tc>
          <w:tcPr>
            <w:tcW w:w="2583" w:type="dxa"/>
          </w:tcPr>
          <w:p w:rsidR="00823ED3" w:rsidRPr="001123C0" w:rsidRDefault="00823ED3" w:rsidP="005A0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55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1123C0" w:rsidRPr="001123C0" w:rsidRDefault="001123C0" w:rsidP="005A02C4">
      <w:pPr>
        <w:spacing w:before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b/>
          <w:sz w:val="24"/>
          <w:szCs w:val="24"/>
          <w:u w:val="single"/>
        </w:rPr>
        <w:t xml:space="preserve">Other Terms &amp; Conditions 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>All duties/ taxes shall be paid by the successful bidder.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 xml:space="preserve">All participants must deposit </w:t>
      </w:r>
      <w:proofErr w:type="spellStart"/>
      <w:r w:rsidRPr="001123C0">
        <w:rPr>
          <w:rFonts w:ascii="Arial" w:hAnsi="Arial" w:cs="Arial"/>
          <w:sz w:val="24"/>
          <w:szCs w:val="24"/>
        </w:rPr>
        <w:t>Rs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. </w:t>
      </w:r>
      <w:r w:rsidR="005A02C4">
        <w:rPr>
          <w:rFonts w:ascii="Arial" w:hAnsi="Arial" w:cs="Arial"/>
          <w:sz w:val="24"/>
          <w:szCs w:val="24"/>
        </w:rPr>
        <w:t>1</w:t>
      </w:r>
      <w:r w:rsidRPr="001123C0">
        <w:rPr>
          <w:rFonts w:ascii="Arial" w:hAnsi="Arial" w:cs="Arial"/>
          <w:sz w:val="24"/>
          <w:szCs w:val="24"/>
        </w:rPr>
        <w:t>0,000/- (re-fundable) in shape of CDR / Cash as token price before participating in auction process.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>The successful bidder shall have to deposit 2</w:t>
      </w:r>
      <w:r w:rsidR="006D6677">
        <w:rPr>
          <w:rFonts w:ascii="Arial" w:hAnsi="Arial" w:cs="Arial"/>
          <w:sz w:val="24"/>
          <w:szCs w:val="24"/>
        </w:rPr>
        <w:t>5</w:t>
      </w:r>
      <w:r w:rsidRPr="001123C0">
        <w:rPr>
          <w:rFonts w:ascii="Arial" w:hAnsi="Arial" w:cs="Arial"/>
          <w:sz w:val="24"/>
          <w:szCs w:val="24"/>
        </w:rPr>
        <w:t xml:space="preserve">% bidding amount in shape of cash (as token money) on the spot and the same will be refunded after depositing full payment </w:t>
      </w:r>
      <w:r w:rsidR="000F5D97">
        <w:rPr>
          <w:rFonts w:ascii="Arial" w:hAnsi="Arial" w:cs="Arial"/>
          <w:sz w:val="24"/>
          <w:szCs w:val="24"/>
        </w:rPr>
        <w:t>of stores</w:t>
      </w:r>
      <w:r w:rsidRPr="001123C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123C0">
        <w:rPr>
          <w:rFonts w:ascii="Arial" w:hAnsi="Arial" w:cs="Arial"/>
          <w:sz w:val="24"/>
          <w:szCs w:val="24"/>
        </w:rPr>
        <w:t>Govt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 Treasury.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 xml:space="preserve">The successful bidder shall have to deposit full payment of </w:t>
      </w:r>
      <w:r w:rsidR="005A02C4">
        <w:rPr>
          <w:rFonts w:ascii="Arial" w:hAnsi="Arial" w:cs="Arial"/>
          <w:sz w:val="24"/>
          <w:szCs w:val="24"/>
        </w:rPr>
        <w:t xml:space="preserve">all equipment </w:t>
      </w:r>
      <w:r w:rsidRPr="001123C0">
        <w:rPr>
          <w:rFonts w:ascii="Arial" w:hAnsi="Arial" w:cs="Arial"/>
          <w:sz w:val="24"/>
          <w:szCs w:val="24"/>
        </w:rPr>
        <w:t xml:space="preserve">in the shape of Bank Draft / Pay Order/ Cash in </w:t>
      </w:r>
      <w:proofErr w:type="spellStart"/>
      <w:r w:rsidRPr="001123C0">
        <w:rPr>
          <w:rFonts w:ascii="Arial" w:hAnsi="Arial" w:cs="Arial"/>
          <w:sz w:val="24"/>
          <w:szCs w:val="24"/>
        </w:rPr>
        <w:t>favour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1123C0">
        <w:rPr>
          <w:rFonts w:ascii="Arial" w:hAnsi="Arial" w:cs="Arial"/>
          <w:sz w:val="24"/>
          <w:szCs w:val="24"/>
        </w:rPr>
        <w:t>Govt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 of Pakistan, Islamabad on the same day, after successful bidding. 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 xml:space="preserve">The successful bidder will deposit full amount </w:t>
      </w:r>
      <w:r w:rsidR="005A02C4">
        <w:rPr>
          <w:rFonts w:ascii="Arial" w:hAnsi="Arial" w:cs="Arial"/>
          <w:sz w:val="24"/>
          <w:szCs w:val="24"/>
        </w:rPr>
        <w:t xml:space="preserve">all equipment </w:t>
      </w:r>
      <w:r w:rsidRPr="001123C0">
        <w:rPr>
          <w:rFonts w:ascii="Arial" w:hAnsi="Arial" w:cs="Arial"/>
          <w:sz w:val="24"/>
          <w:szCs w:val="24"/>
        </w:rPr>
        <w:t xml:space="preserve">including income tax in the Government Treasury. </w:t>
      </w:r>
      <w:r w:rsidR="005A02C4">
        <w:rPr>
          <w:rFonts w:ascii="Arial" w:hAnsi="Arial" w:cs="Arial"/>
          <w:sz w:val="24"/>
          <w:szCs w:val="24"/>
        </w:rPr>
        <w:t xml:space="preserve">All equipment </w:t>
      </w:r>
      <w:r w:rsidRPr="001123C0">
        <w:rPr>
          <w:rFonts w:ascii="Arial" w:hAnsi="Arial" w:cs="Arial"/>
          <w:sz w:val="24"/>
          <w:szCs w:val="24"/>
        </w:rPr>
        <w:t>will be handed over after verification of deposited amount from bank and approval of Competent Authority as well.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 xml:space="preserve">The bidder must be filer of income Tax and have original CNIC. He will provide complete address/ telephone number, NTN </w:t>
      </w:r>
      <w:proofErr w:type="spellStart"/>
      <w:r w:rsidRPr="001123C0">
        <w:rPr>
          <w:rFonts w:ascii="Arial" w:hAnsi="Arial" w:cs="Arial"/>
          <w:sz w:val="24"/>
          <w:szCs w:val="24"/>
        </w:rPr>
        <w:t>alongwith</w:t>
      </w:r>
      <w:proofErr w:type="spellEnd"/>
      <w:r w:rsidRPr="001123C0">
        <w:rPr>
          <w:rFonts w:ascii="Arial" w:hAnsi="Arial" w:cs="Arial"/>
          <w:sz w:val="24"/>
          <w:szCs w:val="24"/>
        </w:rPr>
        <w:t xml:space="preserve"> copy of CNIC.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 xml:space="preserve">ERRA reserves the right to accept or reject any offer without assigning any reason. </w:t>
      </w:r>
    </w:p>
    <w:p w:rsidR="001123C0" w:rsidRPr="001123C0" w:rsidRDefault="001123C0" w:rsidP="005A02C4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23C0">
        <w:rPr>
          <w:rFonts w:ascii="Arial" w:hAnsi="Arial" w:cs="Arial"/>
          <w:sz w:val="24"/>
          <w:szCs w:val="24"/>
        </w:rPr>
        <w:t>ERRA reserves the right to cancel / postpone the auction without assigning any reason.</w:t>
      </w:r>
    </w:p>
    <w:p w:rsidR="001123C0" w:rsidRDefault="001123C0" w:rsidP="006D66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123C0">
        <w:rPr>
          <w:rFonts w:ascii="Arial" w:hAnsi="Arial" w:cs="Arial"/>
          <w:sz w:val="24"/>
          <w:szCs w:val="24"/>
        </w:rPr>
        <w:t>2.</w:t>
      </w:r>
      <w:r w:rsidRPr="001123C0">
        <w:rPr>
          <w:rFonts w:ascii="Arial" w:hAnsi="Arial" w:cs="Arial"/>
          <w:sz w:val="24"/>
          <w:szCs w:val="24"/>
        </w:rPr>
        <w:tab/>
      </w:r>
      <w:r w:rsidR="005A02C4">
        <w:rPr>
          <w:rFonts w:ascii="Arial" w:hAnsi="Arial" w:cs="Arial"/>
          <w:sz w:val="24"/>
          <w:szCs w:val="24"/>
        </w:rPr>
        <w:tab/>
        <w:t xml:space="preserve">All bidders </w:t>
      </w:r>
      <w:r w:rsidRPr="001123C0">
        <w:rPr>
          <w:rFonts w:ascii="Arial" w:hAnsi="Arial" w:cs="Arial"/>
          <w:sz w:val="24"/>
          <w:szCs w:val="24"/>
        </w:rPr>
        <w:t xml:space="preserve">can be </w:t>
      </w:r>
      <w:r w:rsidR="005A02C4">
        <w:rPr>
          <w:rFonts w:ascii="Arial" w:hAnsi="Arial" w:cs="Arial"/>
          <w:b/>
          <w:sz w:val="24"/>
          <w:szCs w:val="24"/>
        </w:rPr>
        <w:t xml:space="preserve">visited </w:t>
      </w:r>
      <w:r w:rsidRPr="001123C0">
        <w:rPr>
          <w:rFonts w:ascii="Arial" w:hAnsi="Arial" w:cs="Arial"/>
          <w:b/>
          <w:sz w:val="24"/>
          <w:szCs w:val="24"/>
        </w:rPr>
        <w:t xml:space="preserve">on </w:t>
      </w:r>
      <w:r w:rsidR="005A02C4">
        <w:rPr>
          <w:rFonts w:ascii="Arial" w:hAnsi="Arial" w:cs="Arial"/>
          <w:b/>
          <w:sz w:val="24"/>
          <w:szCs w:val="24"/>
        </w:rPr>
        <w:t>1</w:t>
      </w:r>
      <w:r w:rsidR="006D6677">
        <w:rPr>
          <w:rFonts w:ascii="Arial" w:hAnsi="Arial" w:cs="Arial"/>
          <w:b/>
          <w:sz w:val="24"/>
          <w:szCs w:val="24"/>
        </w:rPr>
        <w:t>7</w:t>
      </w:r>
      <w:r w:rsidRPr="001123C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1123C0">
        <w:rPr>
          <w:rFonts w:ascii="Arial" w:hAnsi="Arial" w:cs="Arial"/>
          <w:b/>
          <w:sz w:val="24"/>
          <w:szCs w:val="24"/>
        </w:rPr>
        <w:t xml:space="preserve"> </w:t>
      </w:r>
      <w:r w:rsidR="005A02C4">
        <w:rPr>
          <w:rFonts w:ascii="Arial" w:hAnsi="Arial" w:cs="Arial"/>
          <w:b/>
          <w:sz w:val="24"/>
          <w:szCs w:val="24"/>
        </w:rPr>
        <w:t>Nov</w:t>
      </w:r>
      <w:r w:rsidRPr="001123C0">
        <w:rPr>
          <w:rFonts w:ascii="Arial" w:hAnsi="Arial" w:cs="Arial"/>
          <w:b/>
          <w:sz w:val="24"/>
          <w:szCs w:val="24"/>
        </w:rPr>
        <w:t>, 2025 (</w:t>
      </w:r>
      <w:r w:rsidR="006D6677">
        <w:rPr>
          <w:rFonts w:ascii="Arial" w:hAnsi="Arial" w:cs="Arial"/>
          <w:b/>
          <w:sz w:val="24"/>
          <w:szCs w:val="24"/>
        </w:rPr>
        <w:t>Monday</w:t>
      </w:r>
      <w:r w:rsidRPr="001123C0">
        <w:rPr>
          <w:rFonts w:ascii="Arial" w:hAnsi="Arial" w:cs="Arial"/>
          <w:b/>
          <w:sz w:val="24"/>
          <w:szCs w:val="24"/>
        </w:rPr>
        <w:t xml:space="preserve">) at </w:t>
      </w:r>
      <w:r w:rsidR="005A02C4">
        <w:rPr>
          <w:rFonts w:ascii="Arial" w:hAnsi="Arial" w:cs="Arial"/>
          <w:b/>
          <w:sz w:val="24"/>
          <w:szCs w:val="24"/>
        </w:rPr>
        <w:t>PERRA, Abbottabad</w:t>
      </w:r>
      <w:r w:rsidR="005A02C4">
        <w:rPr>
          <w:rFonts w:ascii="Arial" w:hAnsi="Arial" w:cs="Arial"/>
          <w:sz w:val="24"/>
          <w:szCs w:val="24"/>
        </w:rPr>
        <w:t xml:space="preserve"> (</w:t>
      </w:r>
      <w:r w:rsidR="005A02C4" w:rsidRPr="005A02C4">
        <w:rPr>
          <w:rFonts w:ascii="Arial" w:hAnsi="Arial" w:cs="Arial"/>
          <w:b/>
          <w:sz w:val="24"/>
          <w:szCs w:val="24"/>
        </w:rPr>
        <w:t>KPK</w:t>
      </w:r>
      <w:r w:rsidR="005A02C4">
        <w:rPr>
          <w:rFonts w:ascii="Arial" w:hAnsi="Arial" w:cs="Arial"/>
          <w:sz w:val="24"/>
          <w:szCs w:val="24"/>
        </w:rPr>
        <w:t>)</w:t>
      </w:r>
      <w:r w:rsidRPr="001123C0">
        <w:rPr>
          <w:rFonts w:ascii="Arial" w:hAnsi="Arial" w:cs="Arial"/>
          <w:sz w:val="24"/>
          <w:szCs w:val="24"/>
        </w:rPr>
        <w:t xml:space="preserve">. </w:t>
      </w:r>
      <w:r w:rsidRPr="001123C0">
        <w:rPr>
          <w:rFonts w:ascii="Arial" w:hAnsi="Arial" w:cs="Arial"/>
          <w:b/>
          <w:sz w:val="24"/>
          <w:szCs w:val="24"/>
        </w:rPr>
        <w:t xml:space="preserve">The auction will be held on </w:t>
      </w:r>
      <w:r w:rsidR="005A02C4">
        <w:rPr>
          <w:rFonts w:ascii="Arial" w:hAnsi="Arial" w:cs="Arial"/>
          <w:b/>
          <w:sz w:val="24"/>
          <w:szCs w:val="24"/>
        </w:rPr>
        <w:t>1</w:t>
      </w:r>
      <w:r w:rsidR="006D6677">
        <w:rPr>
          <w:rFonts w:ascii="Arial" w:hAnsi="Arial" w:cs="Arial"/>
          <w:b/>
          <w:sz w:val="24"/>
          <w:szCs w:val="24"/>
        </w:rPr>
        <w:t>8</w:t>
      </w:r>
      <w:r w:rsidRPr="001123C0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1123C0">
        <w:rPr>
          <w:rFonts w:ascii="Arial" w:hAnsi="Arial" w:cs="Arial"/>
          <w:b/>
          <w:sz w:val="24"/>
          <w:szCs w:val="24"/>
        </w:rPr>
        <w:t xml:space="preserve"> </w:t>
      </w:r>
      <w:r w:rsidR="005A02C4">
        <w:rPr>
          <w:rFonts w:ascii="Arial" w:hAnsi="Arial" w:cs="Arial"/>
          <w:b/>
          <w:sz w:val="24"/>
          <w:szCs w:val="24"/>
        </w:rPr>
        <w:t>Nov</w:t>
      </w:r>
      <w:r w:rsidRPr="001123C0">
        <w:rPr>
          <w:rFonts w:ascii="Arial" w:hAnsi="Arial" w:cs="Arial"/>
          <w:b/>
          <w:sz w:val="24"/>
          <w:szCs w:val="24"/>
        </w:rPr>
        <w:t>, 2025 (</w:t>
      </w:r>
      <w:r w:rsidR="006D6677">
        <w:rPr>
          <w:rFonts w:ascii="Arial" w:hAnsi="Arial" w:cs="Arial"/>
          <w:b/>
          <w:sz w:val="24"/>
          <w:szCs w:val="24"/>
        </w:rPr>
        <w:t>Tuesday</w:t>
      </w:r>
      <w:r w:rsidRPr="001123C0">
        <w:rPr>
          <w:rFonts w:ascii="Arial" w:hAnsi="Arial" w:cs="Arial"/>
          <w:b/>
          <w:sz w:val="24"/>
          <w:szCs w:val="24"/>
        </w:rPr>
        <w:t>)</w:t>
      </w:r>
      <w:r w:rsidR="005A02C4">
        <w:rPr>
          <w:rFonts w:ascii="Arial" w:hAnsi="Arial" w:cs="Arial"/>
          <w:b/>
          <w:sz w:val="24"/>
          <w:szCs w:val="24"/>
        </w:rPr>
        <w:t xml:space="preserve"> </w:t>
      </w:r>
      <w:r w:rsidRPr="001123C0">
        <w:rPr>
          <w:rFonts w:ascii="Arial" w:hAnsi="Arial" w:cs="Arial"/>
          <w:b/>
          <w:sz w:val="24"/>
          <w:szCs w:val="24"/>
        </w:rPr>
        <w:t>at 1</w:t>
      </w:r>
      <w:r w:rsidR="000F5D97">
        <w:rPr>
          <w:rFonts w:ascii="Arial" w:hAnsi="Arial" w:cs="Arial"/>
          <w:b/>
          <w:sz w:val="24"/>
          <w:szCs w:val="24"/>
        </w:rPr>
        <w:t>0</w:t>
      </w:r>
      <w:r w:rsidR="005A02C4">
        <w:rPr>
          <w:rFonts w:ascii="Arial" w:hAnsi="Arial" w:cs="Arial"/>
          <w:b/>
          <w:sz w:val="24"/>
          <w:szCs w:val="24"/>
        </w:rPr>
        <w:t>0</w:t>
      </w:r>
      <w:r w:rsidRPr="001123C0">
        <w:rPr>
          <w:rFonts w:ascii="Arial" w:hAnsi="Arial" w:cs="Arial"/>
          <w:b/>
          <w:sz w:val="24"/>
          <w:szCs w:val="24"/>
        </w:rPr>
        <w:t xml:space="preserve">0 </w:t>
      </w:r>
      <w:proofErr w:type="spellStart"/>
      <w:r w:rsidRPr="001123C0">
        <w:rPr>
          <w:rFonts w:ascii="Arial" w:hAnsi="Arial" w:cs="Arial"/>
          <w:b/>
          <w:sz w:val="24"/>
          <w:szCs w:val="24"/>
        </w:rPr>
        <w:t>hrs</w:t>
      </w:r>
      <w:proofErr w:type="spellEnd"/>
      <w:r w:rsidRPr="001123C0">
        <w:rPr>
          <w:rFonts w:ascii="Arial" w:hAnsi="Arial" w:cs="Arial"/>
          <w:b/>
          <w:sz w:val="24"/>
          <w:szCs w:val="24"/>
        </w:rPr>
        <w:t xml:space="preserve"> at </w:t>
      </w:r>
      <w:r w:rsidR="005A02C4">
        <w:rPr>
          <w:rFonts w:ascii="Arial" w:hAnsi="Arial" w:cs="Arial"/>
          <w:b/>
          <w:sz w:val="24"/>
          <w:szCs w:val="24"/>
        </w:rPr>
        <w:t>PERRA, Abbottabad (KPK)</w:t>
      </w:r>
      <w:r w:rsidRPr="001123C0">
        <w:rPr>
          <w:rFonts w:ascii="Arial" w:hAnsi="Arial" w:cs="Arial"/>
          <w:sz w:val="24"/>
          <w:szCs w:val="24"/>
        </w:rPr>
        <w:t>.</w:t>
      </w:r>
    </w:p>
    <w:p w:rsidR="001123C0" w:rsidRPr="001123C0" w:rsidRDefault="001123C0" w:rsidP="001123C0">
      <w:pPr>
        <w:jc w:val="right"/>
        <w:rPr>
          <w:rFonts w:ascii="Arial" w:hAnsi="Arial" w:cs="Arial"/>
          <w:sz w:val="24"/>
          <w:szCs w:val="24"/>
        </w:rPr>
      </w:pPr>
      <w:r w:rsidRPr="001123C0">
        <w:rPr>
          <w:rFonts w:ascii="Arial" w:hAnsi="Arial" w:cs="Arial"/>
          <w:sz w:val="24"/>
          <w:szCs w:val="24"/>
        </w:rPr>
        <w:t xml:space="preserve">  </w:t>
      </w:r>
    </w:p>
    <w:p w:rsidR="001123C0" w:rsidRPr="001123C0" w:rsidRDefault="001123C0" w:rsidP="001123C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1123C0">
        <w:rPr>
          <w:rFonts w:ascii="Arial" w:hAnsi="Arial" w:cs="Arial"/>
          <w:b/>
          <w:sz w:val="24"/>
          <w:szCs w:val="24"/>
        </w:rPr>
        <w:t>Director (Procurement)</w:t>
      </w:r>
    </w:p>
    <w:p w:rsidR="00173AD8" w:rsidRDefault="001123C0" w:rsidP="005A02C4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1123C0">
        <w:rPr>
          <w:rFonts w:ascii="Arial" w:hAnsi="Arial" w:cs="Arial"/>
          <w:b/>
          <w:sz w:val="24"/>
          <w:szCs w:val="24"/>
        </w:rPr>
        <w:t>Ph</w:t>
      </w:r>
      <w:proofErr w:type="spellEnd"/>
      <w:r w:rsidR="006D6677">
        <w:rPr>
          <w:rFonts w:ascii="Arial" w:hAnsi="Arial" w:cs="Arial"/>
          <w:b/>
          <w:sz w:val="24"/>
          <w:szCs w:val="24"/>
        </w:rPr>
        <w:t xml:space="preserve"> #</w:t>
      </w:r>
      <w:r w:rsidRPr="001123C0">
        <w:rPr>
          <w:rFonts w:ascii="Arial" w:hAnsi="Arial" w:cs="Arial"/>
          <w:b/>
          <w:sz w:val="24"/>
          <w:szCs w:val="24"/>
        </w:rPr>
        <w:t xml:space="preserve"> 051-9030</w:t>
      </w:r>
      <w:r w:rsidR="000F5D97">
        <w:rPr>
          <w:rFonts w:ascii="Arial" w:hAnsi="Arial" w:cs="Arial"/>
          <w:b/>
          <w:sz w:val="24"/>
          <w:szCs w:val="24"/>
        </w:rPr>
        <w:t>85</w:t>
      </w:r>
      <w:r w:rsidRPr="001123C0">
        <w:rPr>
          <w:rFonts w:ascii="Arial" w:hAnsi="Arial" w:cs="Arial"/>
          <w:b/>
          <w:sz w:val="24"/>
          <w:szCs w:val="24"/>
        </w:rPr>
        <w:t>3</w:t>
      </w:r>
    </w:p>
    <w:p w:rsidR="00173AD8" w:rsidRDefault="00173A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C06E9" w:rsidRDefault="007C06E9">
      <w:pPr>
        <w:rPr>
          <w:rFonts w:ascii="Arial" w:hAnsi="Arial" w:cs="Arial"/>
          <w:b/>
          <w:sz w:val="24"/>
          <w:szCs w:val="24"/>
        </w:rPr>
      </w:pPr>
    </w:p>
    <w:p w:rsidR="007C06E9" w:rsidRDefault="007C06E9">
      <w:pPr>
        <w:rPr>
          <w:rFonts w:ascii="Arial" w:hAnsi="Arial" w:cs="Arial"/>
          <w:b/>
          <w:sz w:val="24"/>
          <w:szCs w:val="24"/>
        </w:rPr>
      </w:pPr>
    </w:p>
    <w:p w:rsidR="007C06E9" w:rsidRDefault="00301043">
      <w:pPr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760640" behindDoc="0" locked="0" layoutInCell="1" allowOverlap="1" wp14:anchorId="63053EA8" wp14:editId="5B419483">
            <wp:simplePos x="0" y="0"/>
            <wp:positionH relativeFrom="column">
              <wp:posOffset>50165</wp:posOffset>
            </wp:positionH>
            <wp:positionV relativeFrom="paragraph">
              <wp:posOffset>231140</wp:posOffset>
            </wp:positionV>
            <wp:extent cx="6374765" cy="48310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483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C06E9" w:rsidRDefault="007C06E9">
      <w:pPr>
        <w:rPr>
          <w:rFonts w:ascii="Arial" w:hAnsi="Arial" w:cs="Arial"/>
          <w:b/>
          <w:sz w:val="24"/>
          <w:szCs w:val="24"/>
        </w:rPr>
      </w:pPr>
    </w:p>
    <w:p w:rsidR="00D57EBB" w:rsidRPr="001123C0" w:rsidRDefault="00D57EBB" w:rsidP="005A02C4">
      <w:pPr>
        <w:jc w:val="right"/>
        <w:rPr>
          <w:rFonts w:ascii="Arial" w:hAnsi="Arial" w:cs="Arial"/>
          <w:color w:val="262626" w:themeColor="text1" w:themeTint="D9"/>
          <w:sz w:val="24"/>
          <w:szCs w:val="24"/>
        </w:rPr>
      </w:pPr>
    </w:p>
    <w:sectPr w:rsidR="00D57EBB" w:rsidRPr="001123C0" w:rsidSect="002277A2">
      <w:pgSz w:w="11909" w:h="16834" w:code="9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706" w:rsidRDefault="00BD5706" w:rsidP="007C06E9">
      <w:pPr>
        <w:spacing w:after="0" w:line="240" w:lineRule="auto"/>
      </w:pPr>
      <w:r>
        <w:separator/>
      </w:r>
    </w:p>
  </w:endnote>
  <w:endnote w:type="continuationSeparator" w:id="0">
    <w:p w:rsidR="00BD5706" w:rsidRDefault="00BD5706" w:rsidP="007C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706" w:rsidRDefault="00BD5706" w:rsidP="007C06E9">
      <w:pPr>
        <w:spacing w:after="0" w:line="240" w:lineRule="auto"/>
      </w:pPr>
      <w:r>
        <w:separator/>
      </w:r>
    </w:p>
  </w:footnote>
  <w:footnote w:type="continuationSeparator" w:id="0">
    <w:p w:rsidR="00BD5706" w:rsidRDefault="00BD5706" w:rsidP="007C0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4A7D"/>
    <w:multiLevelType w:val="hybridMultilevel"/>
    <w:tmpl w:val="0480162A"/>
    <w:lvl w:ilvl="0" w:tplc="88F6B458">
      <w:start w:val="1"/>
      <w:numFmt w:val="lowerRoman"/>
      <w:lvlText w:val="%1)"/>
      <w:lvlJc w:val="left"/>
      <w:pPr>
        <w:ind w:left="216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4D7F44"/>
    <w:multiLevelType w:val="hybridMultilevel"/>
    <w:tmpl w:val="C29C8AEE"/>
    <w:lvl w:ilvl="0" w:tplc="3606D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11FA"/>
    <w:multiLevelType w:val="hybridMultilevel"/>
    <w:tmpl w:val="8BACAEF0"/>
    <w:lvl w:ilvl="0" w:tplc="7898E676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472997"/>
    <w:multiLevelType w:val="hybridMultilevel"/>
    <w:tmpl w:val="9EDAAFA2"/>
    <w:lvl w:ilvl="0" w:tplc="0A92CBE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6D59E3"/>
    <w:multiLevelType w:val="hybridMultilevel"/>
    <w:tmpl w:val="365E05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C551D0"/>
    <w:multiLevelType w:val="hybridMultilevel"/>
    <w:tmpl w:val="848421D6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F71CCB"/>
    <w:multiLevelType w:val="hybridMultilevel"/>
    <w:tmpl w:val="A9269F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8A3731"/>
    <w:multiLevelType w:val="hybridMultilevel"/>
    <w:tmpl w:val="8F8EA7F2"/>
    <w:lvl w:ilvl="0" w:tplc="B56215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71B7F"/>
    <w:multiLevelType w:val="hybridMultilevel"/>
    <w:tmpl w:val="9AA060B0"/>
    <w:lvl w:ilvl="0" w:tplc="9710C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1C80"/>
    <w:multiLevelType w:val="hybridMultilevel"/>
    <w:tmpl w:val="FF5E4CA6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E91556"/>
    <w:multiLevelType w:val="hybridMultilevel"/>
    <w:tmpl w:val="848421D6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500A96"/>
    <w:multiLevelType w:val="hybridMultilevel"/>
    <w:tmpl w:val="3F04EE62"/>
    <w:lvl w:ilvl="0" w:tplc="B400E0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4AF"/>
    <w:multiLevelType w:val="hybridMultilevel"/>
    <w:tmpl w:val="C0120772"/>
    <w:lvl w:ilvl="0" w:tplc="7898E676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937095B"/>
    <w:multiLevelType w:val="hybridMultilevel"/>
    <w:tmpl w:val="ADF289AE"/>
    <w:lvl w:ilvl="0" w:tplc="7898E67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6A2448"/>
    <w:multiLevelType w:val="hybridMultilevel"/>
    <w:tmpl w:val="848421D6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FD2124"/>
    <w:multiLevelType w:val="hybridMultilevel"/>
    <w:tmpl w:val="1436C894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7A60EC"/>
    <w:multiLevelType w:val="hybridMultilevel"/>
    <w:tmpl w:val="1436C894"/>
    <w:lvl w:ilvl="0" w:tplc="3606D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965706"/>
    <w:multiLevelType w:val="hybridMultilevel"/>
    <w:tmpl w:val="7888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0125A"/>
    <w:multiLevelType w:val="hybridMultilevel"/>
    <w:tmpl w:val="52A62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372BD3"/>
    <w:multiLevelType w:val="hybridMultilevel"/>
    <w:tmpl w:val="ADF289AE"/>
    <w:lvl w:ilvl="0" w:tplc="7898E67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2AD5A60"/>
    <w:multiLevelType w:val="hybridMultilevel"/>
    <w:tmpl w:val="C29C8AEE"/>
    <w:lvl w:ilvl="0" w:tplc="3606D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6E4C13"/>
    <w:multiLevelType w:val="hybridMultilevel"/>
    <w:tmpl w:val="4E9E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E10FB"/>
    <w:multiLevelType w:val="hybridMultilevel"/>
    <w:tmpl w:val="ADF289AE"/>
    <w:lvl w:ilvl="0" w:tplc="7898E67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8"/>
  </w:num>
  <w:num w:numId="5">
    <w:abstractNumId w:val="13"/>
  </w:num>
  <w:num w:numId="6">
    <w:abstractNumId w:val="19"/>
  </w:num>
  <w:num w:numId="7">
    <w:abstractNumId w:val="1"/>
  </w:num>
  <w:num w:numId="8">
    <w:abstractNumId w:val="20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  <w:num w:numId="18">
    <w:abstractNumId w:val="6"/>
  </w:num>
  <w:num w:numId="19">
    <w:abstractNumId w:val="18"/>
  </w:num>
  <w:num w:numId="20">
    <w:abstractNumId w:val="4"/>
  </w:num>
  <w:num w:numId="21">
    <w:abstractNumId w:val="11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69"/>
    <w:rsid w:val="00002F8A"/>
    <w:rsid w:val="000051F2"/>
    <w:rsid w:val="00005527"/>
    <w:rsid w:val="0001130A"/>
    <w:rsid w:val="00013677"/>
    <w:rsid w:val="00021315"/>
    <w:rsid w:val="00022BE6"/>
    <w:rsid w:val="000246C2"/>
    <w:rsid w:val="0002524E"/>
    <w:rsid w:val="00025D96"/>
    <w:rsid w:val="00033387"/>
    <w:rsid w:val="00040408"/>
    <w:rsid w:val="000461E5"/>
    <w:rsid w:val="000674D3"/>
    <w:rsid w:val="00067FB5"/>
    <w:rsid w:val="000850AF"/>
    <w:rsid w:val="0009316D"/>
    <w:rsid w:val="000940A9"/>
    <w:rsid w:val="00096AE6"/>
    <w:rsid w:val="00097E69"/>
    <w:rsid w:val="000B662B"/>
    <w:rsid w:val="000D2B76"/>
    <w:rsid w:val="000F0419"/>
    <w:rsid w:val="000F5D97"/>
    <w:rsid w:val="001123C0"/>
    <w:rsid w:val="00117513"/>
    <w:rsid w:val="001245C6"/>
    <w:rsid w:val="001276D5"/>
    <w:rsid w:val="0014378B"/>
    <w:rsid w:val="0014761D"/>
    <w:rsid w:val="00151909"/>
    <w:rsid w:val="00165FB9"/>
    <w:rsid w:val="00167085"/>
    <w:rsid w:val="00170DE7"/>
    <w:rsid w:val="00173AD8"/>
    <w:rsid w:val="00183407"/>
    <w:rsid w:val="001A3595"/>
    <w:rsid w:val="001B6B1B"/>
    <w:rsid w:val="001C0FAA"/>
    <w:rsid w:val="001D2735"/>
    <w:rsid w:val="001D6D75"/>
    <w:rsid w:val="001F1707"/>
    <w:rsid w:val="001F371C"/>
    <w:rsid w:val="001F4069"/>
    <w:rsid w:val="001F41E3"/>
    <w:rsid w:val="00200638"/>
    <w:rsid w:val="00210A8D"/>
    <w:rsid w:val="00210EFE"/>
    <w:rsid w:val="00216414"/>
    <w:rsid w:val="002277A2"/>
    <w:rsid w:val="0025694B"/>
    <w:rsid w:val="00264F47"/>
    <w:rsid w:val="002653E2"/>
    <w:rsid w:val="0026603B"/>
    <w:rsid w:val="00270BC4"/>
    <w:rsid w:val="00270F56"/>
    <w:rsid w:val="00275CDB"/>
    <w:rsid w:val="002760EC"/>
    <w:rsid w:val="002967B1"/>
    <w:rsid w:val="002A21F9"/>
    <w:rsid w:val="002C2EEB"/>
    <w:rsid w:val="002C48B2"/>
    <w:rsid w:val="002C615E"/>
    <w:rsid w:val="002D5CB8"/>
    <w:rsid w:val="002D7166"/>
    <w:rsid w:val="002E426D"/>
    <w:rsid w:val="002F2DA2"/>
    <w:rsid w:val="002F36D7"/>
    <w:rsid w:val="002F4040"/>
    <w:rsid w:val="002F44DD"/>
    <w:rsid w:val="00301043"/>
    <w:rsid w:val="00305A63"/>
    <w:rsid w:val="0030656D"/>
    <w:rsid w:val="0030789F"/>
    <w:rsid w:val="00313233"/>
    <w:rsid w:val="00314D1B"/>
    <w:rsid w:val="00323E1D"/>
    <w:rsid w:val="0032622E"/>
    <w:rsid w:val="00332544"/>
    <w:rsid w:val="00332CAC"/>
    <w:rsid w:val="00334F36"/>
    <w:rsid w:val="003453F9"/>
    <w:rsid w:val="00356C61"/>
    <w:rsid w:val="003650AB"/>
    <w:rsid w:val="003915D3"/>
    <w:rsid w:val="00392021"/>
    <w:rsid w:val="003D67F7"/>
    <w:rsid w:val="003E0AED"/>
    <w:rsid w:val="003F4177"/>
    <w:rsid w:val="003F76A2"/>
    <w:rsid w:val="00402A21"/>
    <w:rsid w:val="00404627"/>
    <w:rsid w:val="0040698C"/>
    <w:rsid w:val="00406D98"/>
    <w:rsid w:val="00422B55"/>
    <w:rsid w:val="00427334"/>
    <w:rsid w:val="004352DD"/>
    <w:rsid w:val="00447243"/>
    <w:rsid w:val="0045155E"/>
    <w:rsid w:val="00473D73"/>
    <w:rsid w:val="004768F8"/>
    <w:rsid w:val="004A44C6"/>
    <w:rsid w:val="004A4CC9"/>
    <w:rsid w:val="004A6FB4"/>
    <w:rsid w:val="004C3BC4"/>
    <w:rsid w:val="004E09BD"/>
    <w:rsid w:val="004E5DE3"/>
    <w:rsid w:val="004F389A"/>
    <w:rsid w:val="00502EFE"/>
    <w:rsid w:val="00514064"/>
    <w:rsid w:val="005267C2"/>
    <w:rsid w:val="00527A92"/>
    <w:rsid w:val="00532A9E"/>
    <w:rsid w:val="0054279C"/>
    <w:rsid w:val="00552B13"/>
    <w:rsid w:val="0056141C"/>
    <w:rsid w:val="00565019"/>
    <w:rsid w:val="005654BC"/>
    <w:rsid w:val="00570E5F"/>
    <w:rsid w:val="00590E2C"/>
    <w:rsid w:val="005A02C4"/>
    <w:rsid w:val="005A43DB"/>
    <w:rsid w:val="005C3B5F"/>
    <w:rsid w:val="005D5C9E"/>
    <w:rsid w:val="005E1FC6"/>
    <w:rsid w:val="005E42B4"/>
    <w:rsid w:val="005E446D"/>
    <w:rsid w:val="005E5558"/>
    <w:rsid w:val="005F20CD"/>
    <w:rsid w:val="005F50F9"/>
    <w:rsid w:val="00606CF6"/>
    <w:rsid w:val="00607ED3"/>
    <w:rsid w:val="006110DE"/>
    <w:rsid w:val="006178C5"/>
    <w:rsid w:val="006252C1"/>
    <w:rsid w:val="00627C1C"/>
    <w:rsid w:val="00644530"/>
    <w:rsid w:val="00655909"/>
    <w:rsid w:val="0065653C"/>
    <w:rsid w:val="00660042"/>
    <w:rsid w:val="006661A9"/>
    <w:rsid w:val="00680834"/>
    <w:rsid w:val="0068408E"/>
    <w:rsid w:val="006938D1"/>
    <w:rsid w:val="00695170"/>
    <w:rsid w:val="00697FAC"/>
    <w:rsid w:val="006C1ED9"/>
    <w:rsid w:val="006C4272"/>
    <w:rsid w:val="006C6638"/>
    <w:rsid w:val="006D1459"/>
    <w:rsid w:val="006D6677"/>
    <w:rsid w:val="006D6A6F"/>
    <w:rsid w:val="006D7342"/>
    <w:rsid w:val="006E173F"/>
    <w:rsid w:val="006E420B"/>
    <w:rsid w:val="006F07C0"/>
    <w:rsid w:val="0070224E"/>
    <w:rsid w:val="00706712"/>
    <w:rsid w:val="00734152"/>
    <w:rsid w:val="007504F1"/>
    <w:rsid w:val="0075163C"/>
    <w:rsid w:val="00752194"/>
    <w:rsid w:val="00757911"/>
    <w:rsid w:val="007667E0"/>
    <w:rsid w:val="00773851"/>
    <w:rsid w:val="0077611E"/>
    <w:rsid w:val="0078114C"/>
    <w:rsid w:val="00781356"/>
    <w:rsid w:val="00785202"/>
    <w:rsid w:val="0078532E"/>
    <w:rsid w:val="00787223"/>
    <w:rsid w:val="007918D8"/>
    <w:rsid w:val="00794AB2"/>
    <w:rsid w:val="007A1EE2"/>
    <w:rsid w:val="007A5B20"/>
    <w:rsid w:val="007A75FA"/>
    <w:rsid w:val="007B049A"/>
    <w:rsid w:val="007B1493"/>
    <w:rsid w:val="007B277E"/>
    <w:rsid w:val="007C06E9"/>
    <w:rsid w:val="007C435A"/>
    <w:rsid w:val="007C4644"/>
    <w:rsid w:val="007D6F46"/>
    <w:rsid w:val="00802E68"/>
    <w:rsid w:val="0080364D"/>
    <w:rsid w:val="00803BCF"/>
    <w:rsid w:val="0081035A"/>
    <w:rsid w:val="00823ED3"/>
    <w:rsid w:val="0082611E"/>
    <w:rsid w:val="00830FC5"/>
    <w:rsid w:val="00832391"/>
    <w:rsid w:val="00833A94"/>
    <w:rsid w:val="00837795"/>
    <w:rsid w:val="00851F7E"/>
    <w:rsid w:val="00853D70"/>
    <w:rsid w:val="00874DCA"/>
    <w:rsid w:val="0087507D"/>
    <w:rsid w:val="00883556"/>
    <w:rsid w:val="00884865"/>
    <w:rsid w:val="0088531F"/>
    <w:rsid w:val="00885C80"/>
    <w:rsid w:val="00894109"/>
    <w:rsid w:val="00896021"/>
    <w:rsid w:val="008A29C3"/>
    <w:rsid w:val="008C0369"/>
    <w:rsid w:val="008C4F3D"/>
    <w:rsid w:val="008D6180"/>
    <w:rsid w:val="0090125D"/>
    <w:rsid w:val="009035C5"/>
    <w:rsid w:val="00910FAB"/>
    <w:rsid w:val="009139BF"/>
    <w:rsid w:val="00914943"/>
    <w:rsid w:val="009215E1"/>
    <w:rsid w:val="00923876"/>
    <w:rsid w:val="00933420"/>
    <w:rsid w:val="00940209"/>
    <w:rsid w:val="00945A03"/>
    <w:rsid w:val="0095395F"/>
    <w:rsid w:val="009629C4"/>
    <w:rsid w:val="00964A07"/>
    <w:rsid w:val="009732B9"/>
    <w:rsid w:val="00980CB2"/>
    <w:rsid w:val="00985271"/>
    <w:rsid w:val="00986AC6"/>
    <w:rsid w:val="00986B86"/>
    <w:rsid w:val="0099066C"/>
    <w:rsid w:val="00990BEB"/>
    <w:rsid w:val="00991225"/>
    <w:rsid w:val="00993879"/>
    <w:rsid w:val="009A6580"/>
    <w:rsid w:val="009B1C98"/>
    <w:rsid w:val="009B4CF8"/>
    <w:rsid w:val="009C358B"/>
    <w:rsid w:val="009D7144"/>
    <w:rsid w:val="009D7155"/>
    <w:rsid w:val="009E1F34"/>
    <w:rsid w:val="009E6E49"/>
    <w:rsid w:val="009F0119"/>
    <w:rsid w:val="009F6FCA"/>
    <w:rsid w:val="009F74D2"/>
    <w:rsid w:val="00A01599"/>
    <w:rsid w:val="00A0563E"/>
    <w:rsid w:val="00A10A83"/>
    <w:rsid w:val="00A116D1"/>
    <w:rsid w:val="00A2499C"/>
    <w:rsid w:val="00A2641F"/>
    <w:rsid w:val="00A509BE"/>
    <w:rsid w:val="00A51D1C"/>
    <w:rsid w:val="00A521C8"/>
    <w:rsid w:val="00A57E1C"/>
    <w:rsid w:val="00A60441"/>
    <w:rsid w:val="00A704DE"/>
    <w:rsid w:val="00A72C59"/>
    <w:rsid w:val="00A81D44"/>
    <w:rsid w:val="00A83743"/>
    <w:rsid w:val="00A83F4D"/>
    <w:rsid w:val="00A91E2C"/>
    <w:rsid w:val="00A95385"/>
    <w:rsid w:val="00AA2E87"/>
    <w:rsid w:val="00AA4F91"/>
    <w:rsid w:val="00AA71FC"/>
    <w:rsid w:val="00AA767A"/>
    <w:rsid w:val="00AB0919"/>
    <w:rsid w:val="00AC3EEB"/>
    <w:rsid w:val="00AC653A"/>
    <w:rsid w:val="00AC6E95"/>
    <w:rsid w:val="00AE21DB"/>
    <w:rsid w:val="00AE328B"/>
    <w:rsid w:val="00AE489F"/>
    <w:rsid w:val="00AE799F"/>
    <w:rsid w:val="00AF0839"/>
    <w:rsid w:val="00AF2EEB"/>
    <w:rsid w:val="00AF36C6"/>
    <w:rsid w:val="00B01A8F"/>
    <w:rsid w:val="00B12540"/>
    <w:rsid w:val="00B134FE"/>
    <w:rsid w:val="00B16AEF"/>
    <w:rsid w:val="00B2040C"/>
    <w:rsid w:val="00B343E2"/>
    <w:rsid w:val="00B422CC"/>
    <w:rsid w:val="00B4374E"/>
    <w:rsid w:val="00B5059A"/>
    <w:rsid w:val="00B57A80"/>
    <w:rsid w:val="00B61C17"/>
    <w:rsid w:val="00B64B0C"/>
    <w:rsid w:val="00B71EF1"/>
    <w:rsid w:val="00B76981"/>
    <w:rsid w:val="00B82DF8"/>
    <w:rsid w:val="00B84CAD"/>
    <w:rsid w:val="00BA7053"/>
    <w:rsid w:val="00BB2603"/>
    <w:rsid w:val="00BB7436"/>
    <w:rsid w:val="00BC14DD"/>
    <w:rsid w:val="00BD4914"/>
    <w:rsid w:val="00BD5706"/>
    <w:rsid w:val="00BD58AD"/>
    <w:rsid w:val="00BE4D93"/>
    <w:rsid w:val="00C11599"/>
    <w:rsid w:val="00C1331A"/>
    <w:rsid w:val="00C15DBB"/>
    <w:rsid w:val="00C273F4"/>
    <w:rsid w:val="00C27BEB"/>
    <w:rsid w:val="00C27CC1"/>
    <w:rsid w:val="00C366A1"/>
    <w:rsid w:val="00C4451E"/>
    <w:rsid w:val="00C465FF"/>
    <w:rsid w:val="00C53C45"/>
    <w:rsid w:val="00C5733E"/>
    <w:rsid w:val="00C70B8E"/>
    <w:rsid w:val="00C837B0"/>
    <w:rsid w:val="00C93079"/>
    <w:rsid w:val="00C93084"/>
    <w:rsid w:val="00C9359C"/>
    <w:rsid w:val="00C97D4D"/>
    <w:rsid w:val="00CB3F3C"/>
    <w:rsid w:val="00CB4587"/>
    <w:rsid w:val="00D00C96"/>
    <w:rsid w:val="00D26930"/>
    <w:rsid w:val="00D31178"/>
    <w:rsid w:val="00D50753"/>
    <w:rsid w:val="00D54FBB"/>
    <w:rsid w:val="00D57EBB"/>
    <w:rsid w:val="00D601E3"/>
    <w:rsid w:val="00D753FC"/>
    <w:rsid w:val="00D760BC"/>
    <w:rsid w:val="00D80D14"/>
    <w:rsid w:val="00D86AAC"/>
    <w:rsid w:val="00D86CFC"/>
    <w:rsid w:val="00D876DD"/>
    <w:rsid w:val="00DA7896"/>
    <w:rsid w:val="00DC5233"/>
    <w:rsid w:val="00DD05F9"/>
    <w:rsid w:val="00DD683D"/>
    <w:rsid w:val="00DE6D9E"/>
    <w:rsid w:val="00DE7BB6"/>
    <w:rsid w:val="00DF1DBB"/>
    <w:rsid w:val="00DF77AA"/>
    <w:rsid w:val="00E037B1"/>
    <w:rsid w:val="00E04B88"/>
    <w:rsid w:val="00E11891"/>
    <w:rsid w:val="00E1524D"/>
    <w:rsid w:val="00E22956"/>
    <w:rsid w:val="00E23B35"/>
    <w:rsid w:val="00E36399"/>
    <w:rsid w:val="00E40766"/>
    <w:rsid w:val="00E426F4"/>
    <w:rsid w:val="00E51D27"/>
    <w:rsid w:val="00E60F4F"/>
    <w:rsid w:val="00E61007"/>
    <w:rsid w:val="00E61C12"/>
    <w:rsid w:val="00E87E88"/>
    <w:rsid w:val="00E90363"/>
    <w:rsid w:val="00EB2BF4"/>
    <w:rsid w:val="00EB788F"/>
    <w:rsid w:val="00EC0E81"/>
    <w:rsid w:val="00ED5E5F"/>
    <w:rsid w:val="00ED76DE"/>
    <w:rsid w:val="00EE3236"/>
    <w:rsid w:val="00EE5D46"/>
    <w:rsid w:val="00EE6FE0"/>
    <w:rsid w:val="00EF19DF"/>
    <w:rsid w:val="00F07148"/>
    <w:rsid w:val="00F10FD1"/>
    <w:rsid w:val="00F245D0"/>
    <w:rsid w:val="00F24A5A"/>
    <w:rsid w:val="00F27847"/>
    <w:rsid w:val="00F27A9C"/>
    <w:rsid w:val="00F373A6"/>
    <w:rsid w:val="00F4497A"/>
    <w:rsid w:val="00F67606"/>
    <w:rsid w:val="00F8088F"/>
    <w:rsid w:val="00F869EB"/>
    <w:rsid w:val="00F8741A"/>
    <w:rsid w:val="00F90309"/>
    <w:rsid w:val="00F95ECD"/>
    <w:rsid w:val="00F97AE2"/>
    <w:rsid w:val="00FA5C37"/>
    <w:rsid w:val="00FB5059"/>
    <w:rsid w:val="00FB79B3"/>
    <w:rsid w:val="00FC38EC"/>
    <w:rsid w:val="00FC59EE"/>
    <w:rsid w:val="00FD306B"/>
    <w:rsid w:val="00FE3729"/>
    <w:rsid w:val="00FE3EA8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F406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F4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40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3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A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6E9"/>
  </w:style>
  <w:style w:type="paragraph" w:styleId="Footer">
    <w:name w:val="footer"/>
    <w:basedOn w:val="Normal"/>
    <w:link w:val="FooterChar"/>
    <w:uiPriority w:val="99"/>
    <w:unhideWhenUsed/>
    <w:rsid w:val="007C0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pra.gov.p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dma.gov.p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13061439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noor.aslam</dc:creator>
  <cp:keywords/>
  <dc:description/>
  <cp:lastModifiedBy>Administrator</cp:lastModifiedBy>
  <cp:revision>314</cp:revision>
  <cp:lastPrinted>2025-10-31T05:20:00Z</cp:lastPrinted>
  <dcterms:created xsi:type="dcterms:W3CDTF">2024-02-12T04:42:00Z</dcterms:created>
  <dcterms:modified xsi:type="dcterms:W3CDTF">2025-10-31T05:27:00Z</dcterms:modified>
</cp:coreProperties>
</file>